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2250" w:firstLine="630"/>
        <w:rPr>
          <w:b w:val="1"/>
        </w:rPr>
      </w:pPr>
      <w:r w:rsidDel="00000000" w:rsidR="00000000" w:rsidRPr="00000000">
        <w:rPr>
          <w:b w:val="1"/>
          <w:rtl w:val="0"/>
        </w:rPr>
        <w:t xml:space="preserve">25 questions for weekly examination - activity</w:t>
      </w:r>
    </w:p>
    <w:p w:rsidR="00000000" w:rsidDel="00000000" w:rsidP="00000000" w:rsidRDefault="00000000" w:rsidRPr="00000000" w14:paraId="00000002">
      <w:pPr>
        <w:ind w:left="297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FIFTH week of lectures IASM - Ophthalmology</w:t>
      </w:r>
    </w:p>
    <w:p w:rsidR="00000000" w:rsidDel="00000000" w:rsidP="00000000" w:rsidRDefault="00000000" w:rsidRPr="00000000" w14:paraId="00000003">
      <w:pPr>
        <w:ind w:left="81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Definitions and classifications of uveitis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Anterior uveitis and complications in the anterior segment of the eye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Intermediate uveitis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Posterior uveitis and complications in the posterior segment of the eye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Diagnostic procedures in uveitis and differential diagnosis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Treatment of uveitis of infectious and non-infectious etiology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Non-infectious autoimmune uveitis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Autoimmune diseases specific to the eye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Diseases mostly with genetic predisposition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Seronegative arthropathies HLA B27+ and juvenile idiopathic arthritis HLA DR5+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Vogt-Koyanagi-Harada disease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multiple sclerosis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Division of vasculitis into four subclasses and clinical manifestations of systemic vasculitis in the eye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Behcet's disease and systemic lupus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Antiphospolipid syndrome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Uveitis of infectious etiology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Uveitic entities and the syndrome of probable histoplasmosis of the eye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Multifocal choroiditis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Uveitis heterochromica – Fuchs (Syndrome Fuchs) and glaucoma-cyclic crises Sy Posner- Schlrossman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Pathogenesis of macular edema and central serous chorioretinopathy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Uveitis Masquerade syndrome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Etiology, clinical picture, diagnosis and therapy of acute and chronic endophthalmitis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Dystrophy and degeneration of the uveal tract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Congenital and acquired anomalies of the uvea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810" w:hanging="360"/>
      </w:pPr>
      <w:r w:rsidDel="00000000" w:rsidR="00000000" w:rsidRPr="00000000">
        <w:rPr>
          <w:b w:val="1"/>
          <w:rtl w:val="0"/>
        </w:rPr>
        <w:t xml:space="preserve">Eye fluid - composition and role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810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1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R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